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70CF1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shd w:val="clear" w:fill="FFFFFF"/>
        <w:spacing w:lineRule="atLeast" w:line="315" w:after="0" w:beforeAutospacing="0" w:afterAutospacing="0"/>
        <w:ind w:firstLine="540" w:left="0" w:right="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  3. Организационный раздел</w:t>
      </w:r>
    </w:p>
    <w:p>
      <w:pPr>
        <w:keepNext w:val="0"/>
        <w:shd w:val="clear" w:fill="FFFFFF"/>
        <w:spacing w:lineRule="atLeast" w:line="315" w:after="0" w:beforeAutospacing="0" w:afterAutospacing="0"/>
        <w:ind w:firstLine="540" w:left="0" w:right="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3.1. Учебный план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чебный план школы разрабатывается на основе </w:t>
      </w:r>
      <w:r>
        <w:rPr>
          <w:rFonts w:ascii="Times New Roman" w:hAnsi="Times New Roman"/>
          <w:sz w:val="24"/>
        </w:rPr>
        <w:t>федерального учебного плана для обучающихся с ЗПР (вариант 7.2.)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чебный план </w:t>
      </w:r>
      <w:r>
        <w:rPr>
          <w:rFonts w:ascii="Times New Roman" w:hAnsi="Times New Roman"/>
          <w:sz w:val="24"/>
        </w:rPr>
        <w:t xml:space="preserve">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>
      <w:pPr>
        <w:keepNext w:val="0"/>
        <w:widowControl w:val="0"/>
        <w:spacing w:lineRule="auto" w:line="240" w:after="0" w:beforeAutospacing="0" w:afterAutospacing="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чебный план </w:t>
      </w:r>
      <w:r>
        <w:rPr>
          <w:rFonts w:ascii="Times New Roman" w:hAnsi="Times New Roman"/>
          <w:sz w:val="24"/>
        </w:rPr>
        <w:t xml:space="preserve">обеспечивает </w:t>
      </w:r>
      <w:r>
        <w:rPr>
          <w:rFonts w:ascii="Times New Roman" w:hAnsi="Times New Roman"/>
          <w:sz w:val="24"/>
        </w:rPr>
        <w:t xml:space="preserve">введение в действие и реализацию требований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"https://normativ.kontur.ru/document?moduleid=1&amp;documentid=444229" \l "l15"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  <w:u w:val="single"/>
        </w:rPr>
        <w:t>ФГОС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НОО обучающихся с ОВЗ и выполнение гигиенических требований к режиму образовательного процесса, которые предусмотрены Гигиеническими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"https://normativ.kontur.ru/document?moduleid=9&amp;documentid=385026" \l "l2292"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  <w:u w:val="single"/>
        </w:rPr>
        <w:t>нормативами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и Санитарно-эпидемиологическими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"https://normativ.kontur.ru/document?moduleid=9&amp;documentid=379740" \l "l22"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  <w:u w:val="single"/>
        </w:rPr>
        <w:t>требованиями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 учебном плане представлены семь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с целью коррекции недостатков психофизического развития обучающихся.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чебный план состоит из двух частей - обязательной части и части, формируемой участниками образовательных отношений.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Обязательная часть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</w:t>
      </w:r>
      <w:r>
        <w:rPr>
          <w:rFonts w:ascii="Times New Roman" w:hAnsi="Times New Roman"/>
          <w:sz w:val="24"/>
        </w:rPr>
        <w:t>ОП НОО, и учебное время, отводимое на их изучение по годам обучения.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Обязательная часть </w:t>
      </w:r>
      <w:r>
        <w:rPr>
          <w:rFonts w:ascii="Times New Roman" w:hAnsi="Times New Roman"/>
          <w:sz w:val="24"/>
        </w:rPr>
        <w:t xml:space="preserve"> учебного плана отражает содержание образования, которое обеспечивает достижение важнейших целей современного образования обучающихся с ЗПР: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обучающихся к продолжению образования на уровне основного общего образования;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здорового образа жизни, элементарных правил поведения в экстремальных ситуациях;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личностное развитие обучающегося в соответствии с его индивидуальностью.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организация самостоятельна в осуществлении образовательного процесса, в выборе видов деятельности по каждому предмету (предметно-практическая деятельность, экскурсии).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Часть учебного плана, формируемая участниками образовательных отношений,</w:t>
      </w:r>
      <w:r>
        <w:rPr>
          <w:rFonts w:ascii="Times New Roman" w:hAnsi="Times New Roman"/>
          <w:sz w:val="24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На первом и втором годах обучения эта часть отсутствует. Время, отводимое на данную часть, внутри максимально допустимой недельной нагрузки обучающихся может быть использовано: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увеличение учебных часов, отводимых на изучение отдельных учебных предметов обязательной части;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введение учебных курсов, обеспечивающих удовлетворение особых образовательных потребностей обучающихся с ЗПР и необходимую коррекцию недостатков в психическом и (или) физическом развитии;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введение учебных курсов для факультативного изучения отдельных учебных предметов (например: элементарная компьютерная грамотность);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введение учебных курсов, обеспечивающих различные интересы обучающихся, в том числе этнокультурные (например: история и культура родного края).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</w:t>
      </w:r>
      <w:r>
        <w:rPr>
          <w:rFonts w:ascii="Times New Roman" w:hAnsi="Times New Roman"/>
          <w:sz w:val="24"/>
        </w:rPr>
        <w:t>образова</w:t>
      </w:r>
      <w:r>
        <w:rPr>
          <w:rFonts w:ascii="Times New Roman" w:hAnsi="Times New Roman"/>
          <w:sz w:val="24"/>
        </w:rPr>
        <w:t>тельных отношений</w:t>
      </w:r>
      <w:r>
        <w:rPr>
          <w:rFonts w:ascii="Times New Roman" w:hAnsi="Times New Roman"/>
          <w:sz w:val="24"/>
        </w:rPr>
        <w:t>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 требованиями.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Обязательным компонентом учебного плана является </w:t>
      </w:r>
      <w:r>
        <w:rPr>
          <w:rFonts w:ascii="Times New Roman" w:hAnsi="Times New Roman"/>
          <w:b w:val="1"/>
          <w:sz w:val="24"/>
        </w:rPr>
        <w:t xml:space="preserve">внеурочная деятельность. </w:t>
      </w:r>
      <w:r>
        <w:rPr>
          <w:rFonts w:ascii="Times New Roman" w:hAnsi="Times New Roman"/>
          <w:sz w:val="24"/>
        </w:rPr>
        <w:t xml:space="preserve">В соответствии с требованиями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"https://normativ.kontur.ru/document?moduleid=1&amp;documentid=444229" \l "l15"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  <w:u w:val="single"/>
        </w:rPr>
        <w:t>ФГОС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НОО обучающихся с ОВЗ внеурочная деятельность организуется по направлениям развития личности (духовно-нравственное, социальное, общеинтеллектуальное, общекультурное, спортивно-оздоровительное). 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 направлений внеурочной деятельности определяется образовательной организацией.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Коррекционно-развивающая область, согласно требованиям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"https://normativ.kontur.ru/document?moduleid=1&amp;documentid=444229" \l "l15"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  <w:u w:val="single"/>
        </w:rPr>
        <w:t>ФГОС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НОО обучающихся с ОВЗ, является обязательной частью внеурочной деятельности и представлено фронтальными и индивидуальными коррекционно-развивающими занятиями (логопедическими и психокоррекционными) и ритмикой,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образовательной организацией самостоятельно, исходя из психофизических особенностей обучающихся с ЗПР на основании рекомендаций ПМПК и ИПРА. Коррекционно-развивающие курсы могут проводиться в индивидуальной и групповой форме.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</w:t>
      </w:r>
      <w:r>
        <w:rPr>
          <w:rFonts w:ascii="Times New Roman" w:hAnsi="Times New Roman"/>
          <w:sz w:val="24"/>
        </w:rPr>
        <w:t>ОП НОО. Распределение часов, предусмотренных на внеурочную деятельность, осуществляется следующим образом: недельная нагрузка не более 10 часов, из них не менее 5 часов отводится на проведение коррекционных занятий (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"https://normativ.kontur.ru/document?moduleid=9&amp;documentid=379740" \l "l177"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  <w:u w:val="single"/>
        </w:rPr>
        <w:t>пункт 3.4.16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Санитарно-эпидемиологических требований).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Чередование учебной и внеурочной деятельности в рамках реализации А</w:t>
      </w:r>
      <w:r>
        <w:rPr>
          <w:rFonts w:ascii="Times New Roman" w:hAnsi="Times New Roman"/>
          <w:sz w:val="24"/>
        </w:rPr>
        <w:t>ОП НОО определяет образовательная организация.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ОП НОО обучающихся с ЗПР может включать как один, так и несколько учебных планов. 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</w:t>
      </w:r>
      <w:r>
        <w:rPr>
          <w:rFonts w:ascii="Times New Roman" w:hAnsi="Times New Roman"/>
          <w:b w:val="1"/>
          <w:i w:val="1"/>
          <w:sz w:val="24"/>
        </w:rPr>
        <w:t>индивидуальные учебные планы</w:t>
      </w:r>
      <w:r>
        <w:rPr>
          <w:rFonts w:ascii="Times New Roman" w:hAnsi="Times New Roman"/>
          <w:sz w:val="24"/>
        </w:rPr>
        <w:t>, в рамках которых формируются индивидуальные учебные программы (содержание дисциплин, курсов, модулей, формы образования).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уровня начального общего образования обучающихся с ЗПР представлены два варианта учебного плана: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вариант 1 - для образовательных организаций, в которых обучение ведется на русском языке;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вариант 2 - для образовательных организаций, в которых обучение ведется на русском языке, но наряду с ним изучается один из языков народов России.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Сроки освоения АООП НОО (вариант 7.2) обучающимися с ЗПР составляют 5 лет.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учебной недели в течение всех лет обучения - 5 дней. Пятидневная рабочая неделя устанавливается в целях сохранения и укрепления здоровья обучающихся с ЗПР. Обучение проходит в одну смену.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учебного года составляет 34 недели, на первом и втором годах обучения - 33 недели. Продолжительность каникул в течение учебного года составляет не менее 30 календарных дней, летом - не менее 8 недель. Для обучающихся на первом и втором годах обучения устанавливаются в течение года дополнительные недельные каникулы.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учебных занятий составляет 40 минут. При определении продолжительности занятий на первом и втором годах обучения используется "ступенчатый" режим обучения: в первом полугодии (в сентябре - октябре - по 3 урока в день по 35 минут каждый, в ноябре - декабре - по 4 урока по 35 минут каждый; в январе - мае - по 4 урока по 40 минут каждый).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часов, отводимых на изучение учебных предметов "Русский язык", "Литературное чтение" и "Родной язык и литературное чтение" может корректироваться в рамках предметной области "Русский язык и литературное чтение" с учетом психофизических особенностей обучающихся с ЗПР.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предметную область "Русский язык и литературное чтение" введен учебный предмет "Иностранный язык",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"Иностранный язык" начинается со 3-го класса. На его изучение отводится 1 час в неделю. При проведении занятий по предмету "Иностранный язык" класс делится на две группы.</w:t>
      </w:r>
      <w:r>
        <w:rPr>
          <w:rFonts w:ascii="Times New Roman" w:hAnsi="Times New Roman"/>
          <w:sz w:val="24"/>
        </w:rPr>
        <w:t xml:space="preserve"> 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t>Для обучающихся с ЗПР, физическое развитие которых приближается или соответствует возрастной норме, образовательная организация по согласованию с родителями (их законными представителями) обучающегося вправе делать выбор между учебным предметом “Физическая культура” и “Адаптивная физическая культура”.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учебный план начального общего образования обучающихся с ЗПР (вариант 7.2).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rPr>
          <w:rFonts w:ascii="Times New Roman" w:hAnsi="Times New Roman"/>
          <w:sz w:val="24"/>
        </w:rPr>
      </w:pPr>
    </w:p>
    <w:p>
      <w:pPr>
        <w:keepNext w:val="0"/>
        <w:widowControl w:val="0"/>
        <w:spacing w:lineRule="auto" w:line="240" w:after="0" w:beforeAutospacing="0" w:afterAutospacing="0"/>
        <w:ind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Вариант N 1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rPr>
          <w:rFonts w:ascii="Times New Roman" w:hAnsi="Times New Roman"/>
          <w:sz w:val="24"/>
        </w:rPr>
      </w:pPr>
    </w:p>
    <w:tbl>
      <w:tblPr>
        <w:tblW w:w="0" w:type="auto"/>
        <w:tblInd w:w="0" w:type="dxa"/>
        <w:tblLayout w:type="autofit"/>
        <w:tblCellMar>
          <w:left w:w="0" w:type="dxa"/>
          <w:right w:w="0" w:type="dxa"/>
        </w:tblCellMar>
      </w:tblPr>
      <w:tblGrid/>
      <w:tr>
        <w:trPr>
          <w:jc w:val="center"/>
        </w:trPr>
        <w:tc>
          <w:tcPr>
            <w:tcW w:w="1072" w:type="dxa"/>
            <w:vMerge w:val="restart"/>
            <w:tcBorders>
              <w:top w:val="single" w:sz="6" w:space="0" w:shadow="0" w:frame="0" w:color="000000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</w:rPr>
              <w:t xml:space="preserve">Предметные области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Классы </w:t>
            </w:r>
          </w:p>
        </w:tc>
        <w:tc>
          <w:tcPr>
            <w:tcW w:w="5356" w:type="dxa"/>
            <w:gridSpan w:val="5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часов в неделю </w:t>
            </w:r>
          </w:p>
        </w:tc>
        <w:tc>
          <w:tcPr>
            <w:tcW w:w="15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</w:tr>
      <w:tr>
        <w:trPr>
          <w:jc w:val="center"/>
        </w:trPr>
        <w:tc>
          <w:tcPr>
            <w:tcW w:w="1072" w:type="dxa"/>
            <w:vMerge w:val="continue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Учебные предметы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доп.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5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jc w:val="center"/>
        </w:trPr>
        <w:tc>
          <w:tcPr>
            <w:tcW w:w="1072" w:type="dxa"/>
            <w:vMerge w:val="restart"/>
            <w:tcBorders>
              <w:top w:val="single" w:sz="6" w:space="0" w:shadow="0" w:frame="0" w:color="000000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и литературное чтение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5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 </w:t>
            </w:r>
          </w:p>
        </w:tc>
      </w:tr>
      <w:tr>
        <w:trPr>
          <w:jc w:val="center"/>
        </w:trPr>
        <w:tc>
          <w:tcPr>
            <w:tcW w:w="1072" w:type="dxa"/>
            <w:vMerge w:val="continue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Литературное чтение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5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 </w:t>
            </w:r>
          </w:p>
        </w:tc>
      </w:tr>
      <w:tr>
        <w:trPr>
          <w:jc w:val="center"/>
        </w:trPr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Иностранный язык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Иностранный язык (английский)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</w:tr>
      <w:tr>
        <w:trPr>
          <w:jc w:val="center"/>
        </w:trPr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и информатика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5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</w:t>
            </w:r>
          </w:p>
        </w:tc>
      </w:tr>
      <w:tr>
        <w:trPr>
          <w:jc w:val="center"/>
        </w:trPr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Обществознание и естествознание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Окружающий мир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5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</w:tr>
      <w:tr>
        <w:trPr>
          <w:jc w:val="center"/>
        </w:trPr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религиозных культур и светской этики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религиозных культур и светской этики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</w:tr>
      <w:tr>
        <w:trPr>
          <w:jc w:val="center"/>
        </w:trPr>
        <w:tc>
          <w:tcPr>
            <w:tcW w:w="1072" w:type="dxa"/>
            <w:vMerge w:val="restart"/>
            <w:tcBorders>
              <w:top w:val="single" w:sz="6" w:space="0" w:shadow="0" w:frame="0" w:color="000000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Искусство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Музыка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</w:tr>
      <w:tr>
        <w:trPr>
          <w:jc w:val="center"/>
        </w:trPr>
        <w:tc>
          <w:tcPr>
            <w:tcW w:w="1072" w:type="dxa"/>
            <w:vMerge w:val="continue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</w:tr>
      <w:tr>
        <w:trPr>
          <w:jc w:val="center"/>
        </w:trPr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Технология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руд (т</w:t>
            </w:r>
            <w:r>
              <w:rPr>
                <w:rFonts w:ascii="Times New Roman" w:hAnsi="Times New Roman"/>
                <w:sz w:val="24"/>
              </w:rPr>
              <w:t>ехнология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</w:tr>
      <w:tr>
        <w:trPr>
          <w:jc w:val="center"/>
        </w:trPr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Физическая культура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Физическая культура (Адаптивная физическая культура)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5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</w:p>
        </w:tc>
      </w:tr>
      <w:tr>
        <w:trPr>
          <w:jc w:val="center"/>
        </w:trPr>
        <w:tc>
          <w:tcPr>
            <w:tcW w:w="2144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 </w:t>
            </w:r>
          </w:p>
        </w:tc>
        <w:tc>
          <w:tcPr>
            <w:tcW w:w="15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105 </w:t>
            </w:r>
          </w:p>
        </w:tc>
      </w:tr>
      <w:tr>
        <w:trPr>
          <w:jc w:val="center"/>
        </w:trPr>
        <w:tc>
          <w:tcPr>
            <w:tcW w:w="2144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Часть, формируемая участниками образовательного процесса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5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</w:tr>
      <w:tr>
        <w:trPr>
          <w:trHeight w:hRule="atLeast" w:val="982"/>
          <w:jc w:val="center"/>
        </w:trPr>
        <w:tc>
          <w:tcPr>
            <w:tcW w:w="2144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Максимально допустимая недельная нагрузка (при 5-дневной учебной неделе)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 </w:t>
            </w:r>
          </w:p>
        </w:tc>
        <w:tc>
          <w:tcPr>
            <w:tcW w:w="15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111 </w:t>
            </w:r>
          </w:p>
        </w:tc>
      </w:tr>
      <w:tr>
        <w:trPr>
          <w:jc w:val="center"/>
        </w:trPr>
        <w:tc>
          <w:tcPr>
            <w:tcW w:w="2144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Внеурочная деятельность (включая коррекционно-развивающую область):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5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 </w:t>
            </w:r>
          </w:p>
        </w:tc>
      </w:tr>
      <w:tr>
        <w:trPr>
          <w:jc w:val="center"/>
        </w:trPr>
        <w:tc>
          <w:tcPr>
            <w:tcW w:w="2144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коррекционно-развивающая область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5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35 </w:t>
            </w:r>
          </w:p>
        </w:tc>
      </w:tr>
      <w:tr>
        <w:trPr>
          <w:jc w:val="center"/>
        </w:trPr>
        <w:tc>
          <w:tcPr>
            <w:tcW w:w="2144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коррекционно-развивающие занятия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5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</w:t>
            </w:r>
          </w:p>
        </w:tc>
      </w:tr>
      <w:tr>
        <w:trPr>
          <w:jc w:val="center"/>
        </w:trPr>
        <w:tc>
          <w:tcPr>
            <w:tcW w:w="2144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ритмика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</w:tr>
      <w:tr>
        <w:trPr>
          <w:jc w:val="center"/>
        </w:trPr>
        <w:tc>
          <w:tcPr>
            <w:tcW w:w="2144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направления внеурочной деятельности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5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</w:p>
        </w:tc>
      </w:tr>
      <w:tr>
        <w:trPr>
          <w:jc w:val="center"/>
        </w:trPr>
        <w:tc>
          <w:tcPr>
            <w:tcW w:w="2144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10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 </w:t>
            </w:r>
          </w:p>
        </w:tc>
        <w:tc>
          <w:tcPr>
            <w:tcW w:w="10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 </w:t>
            </w:r>
          </w:p>
        </w:tc>
        <w:tc>
          <w:tcPr>
            <w:tcW w:w="15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161 </w:t>
            </w:r>
          </w:p>
        </w:tc>
      </w:tr>
    </w:tbl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bookmarkEnd w:id="0"/>
      <w:r>
        <w:rPr>
          <w:rFonts w:ascii="Times New Roman" w:hAnsi="Times New Roman"/>
          <w:sz w:val="24"/>
        </w:rPr>
        <w:t>165.2.5. Федеральный учебный план начального общего образования обучающихся с ЗПР (вариант 7.2).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rPr>
          <w:rFonts w:ascii="Times New Roman" w:hAnsi="Times New Roman"/>
          <w:sz w:val="24"/>
        </w:rPr>
      </w:pPr>
    </w:p>
    <w:p>
      <w:pPr>
        <w:keepNext w:val="0"/>
        <w:widowControl w:val="0"/>
        <w:spacing w:lineRule="auto" w:line="240" w:after="0" w:beforeAutospacing="0" w:afterAutospacing="0"/>
        <w:ind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Вариант N 2</w:t>
      </w:r>
    </w:p>
    <w:p>
      <w:pPr>
        <w:keepNext w:val="0"/>
        <w:widowControl w:val="0"/>
        <w:spacing w:lineRule="auto" w:line="240" w:after="0" w:beforeAutospacing="0" w:afterAutospacing="0"/>
        <w:ind w:left="0" w:right="0"/>
        <w:rPr>
          <w:rFonts w:ascii="Times New Roman" w:hAnsi="Times New Roman"/>
          <w:sz w:val="24"/>
        </w:rPr>
      </w:pPr>
    </w:p>
    <w:tbl>
      <w:tblPr>
        <w:tblW w:w="0" w:type="auto"/>
        <w:tblInd w:w="0" w:type="dxa"/>
        <w:tblLayout w:type="autofit"/>
        <w:tblCellMar>
          <w:left w:w="0" w:type="dxa"/>
          <w:right w:w="0" w:type="dxa"/>
        </w:tblCellMar>
      </w:tblPr>
      <w:tblGrid/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shadow="0" w:frame="0" w:color="000000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Предметные области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Классы </w:t>
            </w:r>
          </w:p>
        </w:tc>
        <w:tc>
          <w:tcPr>
            <w:tcW w:w="5625" w:type="dxa"/>
            <w:gridSpan w:val="5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часов в неделю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</w:tr>
      <w:tr>
        <w:trPr>
          <w:jc w:val="center"/>
        </w:trPr>
        <w:tc>
          <w:tcPr>
            <w:tcW w:w="1125" w:type="dxa"/>
            <w:vMerge w:val="continue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Учебные предметы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доп.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jc w:val="center"/>
        </w:trPr>
        <w:tc>
          <w:tcPr>
            <w:tcW w:w="225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Обязательная часть </w:t>
            </w:r>
          </w:p>
        </w:tc>
        <w:tc>
          <w:tcPr>
            <w:tcW w:w="675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shadow="0" w:frame="0" w:color="000000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и литературное чтение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 </w:t>
            </w:r>
          </w:p>
        </w:tc>
      </w:tr>
      <w:tr>
        <w:trPr>
          <w:jc w:val="center"/>
        </w:trPr>
        <w:tc>
          <w:tcPr>
            <w:tcW w:w="1125" w:type="dxa"/>
            <w:vMerge w:val="continue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Литературное чтение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</w:tr>
      <w:tr>
        <w:trPr>
          <w:jc w:val="center"/>
        </w:trPr>
        <w:tc>
          <w:tcPr>
            <w:tcW w:w="1125" w:type="dxa"/>
            <w:vMerge w:val="continue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Родной язык и литературное чтение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</w:t>
            </w:r>
          </w:p>
        </w:tc>
      </w:tr>
      <w:tr>
        <w:trPr>
          <w:jc w:val="center"/>
        </w:trPr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Иностранный язык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Иностранный язык (английский)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</w:tr>
      <w:tr>
        <w:trPr>
          <w:jc w:val="center"/>
        </w:trPr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и информатика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</w:t>
            </w:r>
          </w:p>
        </w:tc>
      </w:tr>
      <w:tr>
        <w:trPr>
          <w:jc w:val="center"/>
        </w:trPr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Обществознание и естествознание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Окружающий мир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</w:tr>
      <w:tr>
        <w:trPr>
          <w:jc w:val="center"/>
        </w:trPr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религиозных культур и светской этики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религиозных культур и светской этики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</w:tr>
      <w:tr>
        <w:trPr>
          <w:jc w:val="center"/>
        </w:trPr>
        <w:tc>
          <w:tcPr>
            <w:tcW w:w="1125" w:type="dxa"/>
            <w:vMerge w:val="restart"/>
            <w:tcBorders>
              <w:top w:val="single" w:sz="6" w:space="0" w:shadow="0" w:frame="0" w:color="000000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Искусство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Музыка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</w:tr>
      <w:tr>
        <w:trPr>
          <w:jc w:val="center"/>
        </w:trPr>
        <w:tc>
          <w:tcPr>
            <w:tcW w:w="1125" w:type="dxa"/>
            <w:vMerge w:val="continue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</w:tr>
      <w:tr>
        <w:trPr>
          <w:jc w:val="center"/>
        </w:trPr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Технология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д </w:t>
            </w:r>
            <w:r>
              <w:rPr>
                <w:rFonts w:ascii="Times New Roman" w:hAnsi="Times New Roman"/>
                <w:sz w:val="24"/>
              </w:rPr>
              <w:t>(т</w:t>
            </w:r>
            <w:r>
              <w:rPr>
                <w:rFonts w:ascii="Times New Roman" w:hAnsi="Times New Roman"/>
                <w:sz w:val="24"/>
              </w:rPr>
              <w:t>ехнология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</w:tr>
      <w:tr>
        <w:trPr>
          <w:jc w:val="center"/>
        </w:trPr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Физическая культура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(Адаптивная физическая культура)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</w:p>
        </w:tc>
      </w:tr>
      <w:tr>
        <w:trPr>
          <w:jc w:val="center"/>
        </w:trPr>
        <w:tc>
          <w:tcPr>
            <w:tcW w:w="225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105 </w:t>
            </w:r>
          </w:p>
        </w:tc>
      </w:tr>
      <w:tr>
        <w:trPr>
          <w:jc w:val="center"/>
        </w:trPr>
        <w:tc>
          <w:tcPr>
            <w:tcW w:w="225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Часть, формируемая участниками образовательного процесса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</w:tr>
      <w:tr>
        <w:trPr>
          <w:jc w:val="center"/>
        </w:trPr>
        <w:tc>
          <w:tcPr>
            <w:tcW w:w="225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Максимально допустимая недельная нагрузка (при 5-дневной учебной неделе)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111 </w:t>
            </w:r>
          </w:p>
        </w:tc>
      </w:tr>
      <w:tr>
        <w:trPr>
          <w:jc w:val="center"/>
        </w:trPr>
        <w:tc>
          <w:tcPr>
            <w:tcW w:w="225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Внеурочная деятельность (включая коррекционно-развивающую область):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 </w:t>
            </w:r>
          </w:p>
        </w:tc>
      </w:tr>
      <w:tr>
        <w:trPr>
          <w:jc w:val="center"/>
        </w:trPr>
        <w:tc>
          <w:tcPr>
            <w:tcW w:w="225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коррекционно-развивающая область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35 </w:t>
            </w:r>
          </w:p>
        </w:tc>
      </w:tr>
      <w:tr>
        <w:trPr>
          <w:jc w:val="center"/>
        </w:trPr>
        <w:tc>
          <w:tcPr>
            <w:tcW w:w="225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коррекционно-развивающие занятия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</w:t>
            </w:r>
          </w:p>
        </w:tc>
      </w:tr>
      <w:tr>
        <w:trPr>
          <w:jc w:val="center"/>
        </w:trPr>
        <w:tc>
          <w:tcPr>
            <w:tcW w:w="225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ритмика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</w:tr>
      <w:tr>
        <w:trPr>
          <w:jc w:val="center"/>
        </w:trPr>
        <w:tc>
          <w:tcPr>
            <w:tcW w:w="225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направления внеурочной деятельности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</w:p>
        </w:tc>
      </w:tr>
      <w:tr>
        <w:trPr>
          <w:jc w:val="center"/>
        </w:trPr>
        <w:tc>
          <w:tcPr>
            <w:tcW w:w="225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 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widowControl w:val="0"/>
              <w:spacing w:lineRule="auto" w:line="240" w:after="0" w:beforeAutospacing="0" w:afterAutospacing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161 </w:t>
            </w:r>
          </w:p>
        </w:tc>
      </w:tr>
    </w:tbl>
    <w:p>
      <w:pPr>
        <w:keepNext w:val="0"/>
        <w:widowControl w:val="0"/>
        <w:spacing w:lineRule="auto" w:line="240" w:after="0" w:beforeAutospacing="0" w:afterAutospacing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учебном плане количество часов в неделю на коррекционно-развивающие курсы указано на одного обучающегося.</w:t>
      </w:r>
    </w:p>
    <w:p>
      <w:pPr>
        <w:keepNext w:val="0"/>
        <w:shd w:val="clear" w:fill="FFFFFF"/>
        <w:spacing w:lineRule="atLeast" w:line="315" w:after="0" w:beforeAutospacing="0" w:afterAutospacing="0"/>
        <w:ind w:firstLine="540" w:left="0" w:right="0"/>
        <w:rPr>
          <w:b w:val="1"/>
          <w:color w:val="000000"/>
          <w:sz w:val="24"/>
        </w:rPr>
      </w:pPr>
    </w:p>
    <w:p>
      <w:pPr>
        <w:keepNext w:val="0"/>
        <w:spacing w:after="0" w:beforeAutospacing="0" w:afterAutospacing="0"/>
        <w:ind w:left="0" w:right="0"/>
        <w:rPr>
          <w:sz w:val="24"/>
        </w:rPr>
      </w:pPr>
    </w:p>
    <w:sectPr>
      <w:type w:val="nextPage"/>
      <w:pgSz w:w="11906" w:h="16838" w:code="9"/>
      <w:pgMar w:left="1701" w:right="851" w:top="993" w:bottom="993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76F0CB1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26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98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70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42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14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86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58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30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020"/>
      </w:pPr>
      <w:rPr>
        <w:rFonts w:ascii="Wingdings" w:hAnsi="Wingdings"/>
      </w:rPr>
    </w:lvl>
  </w:abstractNum>
  <w:abstractNum w:abstractNumId="1">
    <w:nsid w:val="587E2DA4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03D352A0"/>
    <w:multiLevelType w:val="hybridMultilevel"/>
    <w:lvl w:ilvl="0" w:tplc="1EA8F3CD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720"/>
      </w:pPr>
      <w:rPr>
        <w:rFonts w:ascii="Symbol" w:hAnsi="Symbol"/>
      </w:rPr>
    </w:lvl>
    <w:lvl w:ilvl="1" w:tplc="2AFAADE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1440"/>
      </w:pPr>
      <w:rPr>
        <w:rFonts w:ascii="Courier New" w:hAnsi="Courier New"/>
      </w:rPr>
    </w:lvl>
    <w:lvl w:ilvl="2" w:tplc="52074A7D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160"/>
      </w:pPr>
      <w:rPr>
        <w:rFonts w:ascii="Wingdings" w:hAnsi="Wingdings"/>
      </w:rPr>
    </w:lvl>
    <w:lvl w:ilvl="3" w:tplc="41723D29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2880"/>
      </w:pPr>
      <w:rPr>
        <w:rFonts w:ascii="Symbol" w:hAnsi="Symbol"/>
      </w:rPr>
    </w:lvl>
    <w:lvl w:ilvl="4" w:tplc="7BEC6368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3600"/>
      </w:pPr>
      <w:rPr>
        <w:rFonts w:ascii="Courier New" w:hAnsi="Courier New"/>
      </w:rPr>
    </w:lvl>
    <w:lvl w:ilvl="5" w:tplc="75E836FB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4320"/>
      </w:pPr>
      <w:rPr>
        <w:rFonts w:ascii="Wingdings" w:hAnsi="Wingdings"/>
      </w:rPr>
    </w:lvl>
    <w:lvl w:ilvl="6" w:tplc="0118B386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040"/>
      </w:pPr>
      <w:rPr>
        <w:rFonts w:ascii="Symbol" w:hAnsi="Symbol"/>
      </w:rPr>
    </w:lvl>
    <w:lvl w:ilvl="7" w:tplc="19CDDF77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5760"/>
      </w:pPr>
      <w:rPr>
        <w:rFonts w:ascii="Courier New" w:hAnsi="Courier New"/>
      </w:rPr>
    </w:lvl>
    <w:lvl w:ilvl="8" w:tplc="752D856C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6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  <w:ind w:firstLine="709"/>
      <w:jc w:val="left"/>
    </w:pPr>
    <w:rPr>
      <w:rFonts w:ascii="Times New Roman" w:hAnsi="Times New Roman"/>
      <w:sz w:val="28"/>
    </w:rPr>
  </w:style>
  <w:style w:type="paragraph" w:styleId="P1">
    <w:name w:val="heading 5"/>
    <w:basedOn w:val="P0"/>
    <w:link w:val="C4"/>
    <w:qFormat/>
    <w:pPr>
      <w:widowControl w:val="0"/>
      <w:ind w:firstLine="0" w:left="157"/>
      <w:jc w:val="left"/>
      <w:outlineLvl w:val="4"/>
    </w:pPr>
    <w:rPr>
      <w:rFonts w:ascii="Trebuchet MS" w:hAnsi="Trebuchet MS"/>
      <w:sz w:val="22"/>
    </w:rPr>
  </w:style>
  <w:style w:type="paragraph" w:styleId="P2">
    <w:name w:val="Body Text"/>
    <w:basedOn w:val="P0"/>
    <w:link w:val="C3"/>
    <w:qFormat/>
    <w:pPr>
      <w:widowControl w:val="0"/>
      <w:ind w:firstLine="226" w:left="157" w:right="155"/>
    </w:pPr>
    <w:rPr>
      <w:sz w:val="20"/>
    </w:rPr>
  </w:style>
  <w:style w:type="paragraph" w:styleId="P3">
    <w:name w:val="Table Paragraph"/>
    <w:basedOn w:val="P0"/>
    <w:qFormat/>
    <w:pPr>
      <w:widowControl w:val="0"/>
      <w:ind w:firstLine="0"/>
      <w:jc w:val="left"/>
    </w:pPr>
    <w:rPr>
      <w:rFonts w:ascii="Bookman Old Style" w:hAnsi="Bookman Old Style"/>
      <w:sz w:val="22"/>
    </w:rPr>
  </w:style>
  <w:style w:type="paragraph" w:styleId="P4">
    <w:name w:val="Balloon Text"/>
    <w:basedOn w:val="P0"/>
    <w:link w:val="C5"/>
    <w:semiHidden/>
    <w:pPr/>
    <w:rPr>
      <w:rFonts w:ascii="Tahoma" w:hAnsi="Tahoma"/>
      <w:sz w:val="16"/>
    </w:rPr>
  </w:style>
  <w:style w:type="paragraph" w:styleId="P5">
    <w:name w:val="ConsPlusNormal"/>
    <w:pPr>
      <w:widowControl w:val="0"/>
      <w:spacing w:lineRule="auto" w:line="240" w:after="0" w:beforeAutospacing="0" w:afterAutospacing="0"/>
    </w:pPr>
    <w:rPr>
      <w:rFonts w:ascii="Times New Roman" w:hAnsi="Times New Roman"/>
      <w:sz w:val="24"/>
    </w:rPr>
  </w:style>
  <w:style w:type="paragraph" w:styleId="P6">
    <w:name w:val="ConsPlusTitlePage"/>
    <w:pPr>
      <w:widowControl w:val="0"/>
      <w:spacing w:lineRule="auto" w:line="240" w:after="0" w:beforeAutospacing="0" w:afterAutospacing="0"/>
    </w:pPr>
    <w:rPr>
      <w:rFonts w:ascii="Tahoma" w:hAnsi="Tahoma"/>
      <w:sz w:val="20"/>
    </w:rPr>
  </w:style>
  <w:style w:type="paragraph" w:styleId="P7">
    <w:name w:val="Обычный"/>
    <w:basedOn w:val="P0"/>
    <w:next w:val="P7"/>
    <w:pPr/>
    <w:rPr>
      <w:sz w:val="24"/>
    </w:rPr>
  </w:style>
  <w:style w:type="paragraph" w:styleId="P8">
    <w:name w:val="Default"/>
    <w:basedOn w:val="P0"/>
    <w:next w:val="P8"/>
    <w:pPr/>
    <w:rPr>
      <w:color w:val="000000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 Знак"/>
    <w:basedOn w:val="C0"/>
    <w:link w:val="P2"/>
    <w:rPr>
      <w:sz w:val="20"/>
    </w:rPr>
  </w:style>
  <w:style w:type="character" w:styleId="C4">
    <w:name w:val="Заголовок 5 Знак"/>
    <w:basedOn w:val="C0"/>
    <w:link w:val="P1"/>
    <w:rPr>
      <w:rFonts w:ascii="Trebuchet MS" w:hAnsi="Trebuchet MS"/>
      <w:sz w:val="22"/>
    </w:rPr>
  </w:style>
  <w:style w:type="character" w:styleId="C5">
    <w:name w:val="Текст выноски Знак"/>
    <w:basedOn w:val="C0"/>
    <w:link w:val="P4"/>
    <w:semiHidden/>
    <w:rPr>
      <w:rFonts w:ascii="Tahoma" w:hAnsi="Tahoma"/>
      <w:sz w:val="16"/>
    </w:rPr>
  </w:style>
  <w:style w:type="character" w:styleId="C6">
    <w:name w:val="Основной шрифт абзаца"/>
    <w:rPr>
      <w:rFonts w:ascii="Times New Roman" w:hAnsi="Times New Roman"/>
      <w:sz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pPr>
      <w:widowControl w:val="0"/>
      <w:spacing w:lineRule="auto" w:line="240" w:after="0" w:beforeAutospacing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