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6FFC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0" w:leader="none"/>
          <w:tab w:val="right" w:pos="9639" w:leader="dot"/>
        </w:tabs>
        <w:spacing w:lineRule="auto" w:line="240" w:before="120" w:after="120" w:beforeAutospacing="0" w:afterAutospacing="0"/>
        <w:jc w:val="center"/>
        <w:outlineLvl w:val="2"/>
        <w:rPr>
          <w:rFonts w:ascii="Times New Roman" w:hAnsi="Times New Roman"/>
          <w:b w:val="1"/>
          <w:sz w:val="24"/>
        </w:rPr>
      </w:pPr>
      <w:bookmarkStart w:id="0" w:name="_Toc415833115"/>
      <w:r>
        <w:rPr>
          <w:rFonts w:ascii="Times New Roman" w:hAnsi="Times New Roman"/>
          <w:b w:val="1"/>
          <w:sz w:val="24"/>
        </w:rPr>
        <w:t>1. Целевой раздел</w:t>
      </w:r>
    </w:p>
    <w:p>
      <w:pPr>
        <w:tabs>
          <w:tab w:val="left" w:pos="0" w:leader="none"/>
          <w:tab w:val="right" w:pos="9639" w:leader="dot"/>
        </w:tabs>
        <w:spacing w:lineRule="auto" w:line="240" w:before="120" w:after="120" w:beforeAutospacing="0" w:afterAutospacing="0"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1.1. Пояснительная записка</w:t>
      </w:r>
      <w:bookmarkEnd w:id="0"/>
    </w:p>
    <w:p>
      <w:pPr>
        <w:widowControl w:val="0"/>
        <w:tabs>
          <w:tab w:val="left" w:pos="993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обучающихся – полиэтнический. Одно из основных направлений деятельности школы является построение поликультурной образовательной среды.</w:t>
      </w:r>
    </w:p>
    <w:p>
      <w:pPr>
        <w:widowControl w:val="0"/>
        <w:tabs>
          <w:tab w:val="left" w:pos="993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Часть обучающихся школы – дети с ОВЗ, наиболее многочисленную группу среди которых занимает категория детей с ЗПР</w:t>
      </w:r>
    </w:p>
    <w:p>
      <w:pPr>
        <w:widowControl w:val="0"/>
        <w:tabs>
          <w:tab w:val="left" w:pos="993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Адаптированная образовательная программа разработана на основе ФАОП НОО и соответствует ФГОС НОО обучающихся с ОВЗ.</w:t>
      </w: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реализации</w:t>
      </w:r>
      <w:r>
        <w:rPr>
          <w:rFonts w:ascii="Times New Roman" w:hAnsi="Times New Roman"/>
          <w:sz w:val="24"/>
        </w:rPr>
        <w:t xml:space="preserve"> АОП НОО обучающихся с ЗПР: обеспечение выполнения требований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"https://normativ.kontur.ru/document?moduleid=1&amp;documentid=444229" \l "l15"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Достижение поставленной цели предусматривает решение следующих </w:t>
      </w:r>
      <w:r>
        <w:rPr>
          <w:rFonts w:ascii="Times New Roman" w:hAnsi="Times New Roman"/>
          <w:b w:val="1"/>
          <w:sz w:val="24"/>
        </w:rPr>
        <w:t>основных задач: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достижение планируемых результатов освоения </w:t>
      </w:r>
      <w:r>
        <w:rPr>
          <w:rFonts w:ascii="Times New Roman" w:hAnsi="Times New Roman"/>
          <w:sz w:val="24"/>
        </w:rPr>
        <w:t>АОП НОО для обучающихся ЗПР с учетом их особых образовательных потребностей, а также индивидуальных особенностей и возможностей;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минимизация негативного влияния особенностей познавательной деятельности обучающихся с ЗПР для освоения ими </w:t>
      </w:r>
      <w:r>
        <w:rPr>
          <w:rFonts w:ascii="Times New Roman" w:hAnsi="Times New Roman"/>
          <w:sz w:val="24"/>
        </w:rPr>
        <w:t>АОП НОО;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обеспечение доступности получения начального общего образования;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обеспечение преемственности начального общего и основного общего образования;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использование в образовательном процессе современных образовательных технологий деятельностного типа;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b w:val="1"/>
          <w:sz w:val="24"/>
        </w:rPr>
      </w:pPr>
    </w:p>
    <w:p>
      <w:pPr>
        <w:widowControl w:val="0"/>
        <w:spacing w:lineRule="auto" w:line="240" w:after="15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Общая характеристика программы</w:t>
      </w:r>
      <w:r>
        <w:rPr>
          <w:rFonts w:ascii="Times New Roman" w:hAnsi="Times New Roman"/>
          <w:sz w:val="24"/>
        </w:rPr>
        <w:t>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АОП НОО, вариант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АОП НОО (вариант 7.2)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получения начального общего образования составляют 5 лет.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возможности освоения обучающимися </w:t>
      </w:r>
      <w:r>
        <w:rPr>
          <w:rFonts w:ascii="Times New Roman" w:hAnsi="Times New Roman"/>
          <w:sz w:val="24"/>
        </w:rPr>
        <w:t>АОП НОО, вариант 7.2, может быть реализована сетевая форма реализации образовательных программ.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Неспособность обучающегося с ЗПР полноценно освоить отдельный предмет в структуре </w:t>
      </w:r>
      <w:r>
        <w:rPr>
          <w:rFonts w:ascii="Times New Roman" w:hAnsi="Times New Roman"/>
          <w:sz w:val="24"/>
        </w:rPr>
        <w:t xml:space="preserve">АОП НОО (вариант 7.2) не должна служить препятствием для продолжения освоения данного варианта программы, поскольку у обучающихся с ЗПР может быть специфическое расстройство чтения, письма, арифметических навыков (дислексия, дисграфия, дискалькулия), а так же выраженные нарушения внимания и работоспособности, препятствующие освоению программы в полном объеме. При возникновении трудностей в освоении обучающимся с ЗПР содержания </w:t>
      </w:r>
      <w:r>
        <w:rPr>
          <w:rFonts w:ascii="Times New Roman" w:hAnsi="Times New Roman"/>
          <w:sz w:val="24"/>
        </w:rPr>
        <w:t xml:space="preserve">АОП НОО (вариант 7.2) специалисты, осуществляющие психолого-педагогическое сопровождение, </w:t>
      </w:r>
      <w:r>
        <w:rPr>
          <w:rFonts w:ascii="Times New Roman" w:hAnsi="Times New Roman"/>
          <w:sz w:val="24"/>
        </w:rPr>
        <w:t>дополняют</w:t>
      </w:r>
      <w:r>
        <w:rPr>
          <w:rFonts w:ascii="Times New Roman" w:hAnsi="Times New Roman"/>
          <w:sz w:val="24"/>
        </w:rPr>
        <w:t xml:space="preserve"> структуру программы коррекционной работы соответствующим направлением работы.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Текущая, промежуточная и итоговая аттестация на уровне начального общего образования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z w:val="24"/>
        </w:rPr>
        <w:t xml:space="preserve"> с учетом возможных специфических трудностей обучающегося с ЗПР.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АОП НОО сформирована на основе следующих </w:t>
      </w:r>
      <w:r>
        <w:rPr>
          <w:rFonts w:ascii="Times New Roman" w:hAnsi="Times New Roman"/>
          <w:b w:val="1"/>
          <w:sz w:val="24"/>
        </w:rPr>
        <w:t>принципов</w:t>
      </w:r>
      <w:r>
        <w:rPr>
          <w:rFonts w:ascii="Times New Roman" w:hAnsi="Times New Roman"/>
          <w:sz w:val="24"/>
        </w:rPr>
        <w:t xml:space="preserve">: </w:t>
      </w:r>
    </w:p>
    <w:p>
      <w:pPr>
        <w:pStyle w:val="P1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принцип </w:t>
      </w:r>
      <w:r>
        <w:rPr>
          <w:rFonts w:ascii="Times New Roman" w:hAnsi="Times New Roman"/>
          <w:b w:val="1"/>
          <w:sz w:val="24"/>
        </w:rPr>
        <w:t xml:space="preserve">учета ФГОС НОО </w:t>
      </w:r>
      <w:r>
        <w:rPr>
          <w:rFonts w:ascii="Times New Roman" w:hAnsi="Times New Roman"/>
          <w:sz w:val="24"/>
        </w:rPr>
        <w:t>обучающихся с ОВЗ: АОП НОО базируется на требованиях, предъявляемых ФГОС НОО обучающихся с ОВЗ к целям, содержанию, планируемым результатам и условиям обучения в начальной школе;</w:t>
      </w:r>
    </w:p>
    <w:p>
      <w:pPr>
        <w:pStyle w:val="P1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принцип </w:t>
      </w:r>
      <w:r>
        <w:rPr>
          <w:rFonts w:ascii="Times New Roman" w:hAnsi="Times New Roman"/>
          <w:b w:val="1"/>
          <w:sz w:val="24"/>
        </w:rPr>
        <w:t>учета языка обучения</w:t>
      </w:r>
      <w:r>
        <w:rPr>
          <w:rFonts w:ascii="Times New Roman" w:hAnsi="Times New Roman"/>
          <w:sz w:val="24"/>
        </w:rPr>
        <w:t>: с учетом условий функционирования образовательной организации АОП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>
      <w:pPr>
        <w:pStyle w:val="P1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принцип </w:t>
      </w:r>
      <w:r>
        <w:rPr>
          <w:rFonts w:ascii="Times New Roman" w:hAnsi="Times New Roman"/>
          <w:b w:val="1"/>
          <w:sz w:val="24"/>
        </w:rPr>
        <w:t>учета ведущей деятельности</w:t>
      </w:r>
      <w:r>
        <w:rPr>
          <w:rFonts w:ascii="Times New Roman" w:hAnsi="Times New Roman"/>
          <w:sz w:val="24"/>
        </w:rPr>
        <w:t xml:space="preserve">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>
      <w:pPr>
        <w:pStyle w:val="P1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принцип </w:t>
      </w:r>
      <w:r>
        <w:rPr>
          <w:rFonts w:ascii="Times New Roman" w:hAnsi="Times New Roman"/>
          <w:b w:val="1"/>
          <w:sz w:val="24"/>
        </w:rPr>
        <w:t>индивидуализации обучения</w:t>
      </w:r>
      <w:r>
        <w:rPr>
          <w:rFonts w:ascii="Times New Roman" w:hAnsi="Times New Roman"/>
          <w:sz w:val="24"/>
        </w:rPr>
        <w:t>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>
      <w:pPr>
        <w:pStyle w:val="P1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принцип </w:t>
      </w:r>
      <w:r>
        <w:rPr>
          <w:rFonts w:ascii="Times New Roman" w:hAnsi="Times New Roman"/>
          <w:b w:val="1"/>
          <w:sz w:val="24"/>
        </w:rPr>
        <w:t>преемственности и перспективности</w:t>
      </w:r>
      <w:r>
        <w:rPr>
          <w:rFonts w:ascii="Times New Roman" w:hAnsi="Times New Roman"/>
          <w:sz w:val="24"/>
        </w:rPr>
        <w:t>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>
      <w:pPr>
        <w:pStyle w:val="P1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>
      <w:pPr>
        <w:pStyle w:val="P1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принцип </w:t>
      </w:r>
      <w:r>
        <w:rPr>
          <w:rFonts w:ascii="Times New Roman" w:hAnsi="Times New Roman"/>
          <w:b w:val="1"/>
          <w:sz w:val="24"/>
        </w:rPr>
        <w:t>здоровьесбережения:</w:t>
      </w:r>
      <w:r>
        <w:rPr>
          <w:rFonts w:ascii="Times New Roman" w:hAnsi="Times New Roman"/>
          <w:sz w:val="24"/>
        </w:rP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</w:t>
      </w:r>
    </w:p>
    <w:p>
      <w:pPr>
        <w:pStyle w:val="P5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Подходы к формированию адаптированной образовательной программы начального общего образования обучающихся с задержкой психического развития</w:t>
      </w:r>
    </w:p>
    <w:p>
      <w:pPr>
        <w:pStyle w:val="P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основу разработки и реализации АОП НОО обучающихся с ЗПР заложены </w:t>
      </w:r>
      <w:r>
        <w:rPr>
          <w:rFonts w:ascii="Times New Roman" w:hAnsi="Times New Roman"/>
          <w:i w:val="1"/>
          <w:sz w:val="24"/>
        </w:rPr>
        <w:t xml:space="preserve">дифференцированный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i w:val="1"/>
          <w:sz w:val="24"/>
        </w:rPr>
        <w:t xml:space="preserve"> деятельностный подходы</w:t>
      </w:r>
      <w:r>
        <w:rPr>
          <w:rFonts w:ascii="Times New Roman" w:hAnsi="Times New Roman"/>
          <w:sz w:val="24"/>
        </w:rPr>
        <w:t>.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Дифференцированный подход</w:t>
      </w:r>
      <w:r>
        <w:rPr>
          <w:rFonts w:ascii="Times New Roman" w:hAnsi="Times New Roman"/>
          <w:sz w:val="24"/>
        </w:rPr>
        <w:t xml:space="preserve"> к разработке и реализации АОП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АОП НОО обучающихся с ЗПР, в том числе и на основе индивидуального учебного плана. Варианты АОП НОО обучающихся с ЗПР создаются и реализуются в соответствии с дифференцированно сформулированными требованиями в ФГОС НОО обучающихся с ОВЗ к: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структуре АОП НОО;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 условиям реализации АОП НОО; 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результатам освоения АОП НОО.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дифференцированного подхода к созданию и реализации АОП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Деятельностный подход</w:t>
      </w:r>
      <w:r>
        <w:rPr>
          <w:rFonts w:ascii="Times New Roman" w:hAnsi="Times New Roman"/>
          <w:sz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>
      <w:pPr>
        <w:pStyle w:val="P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контексте разработки АОП НОО обучающихся с ЗПР реализация деятельностного подхода обеспечивает:</w:t>
      </w:r>
    </w:p>
    <w:p>
      <w:pPr>
        <w:pStyle w:val="P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придание результатам образования социально и личностно значимого характера;</w:t>
      </w:r>
    </w:p>
    <w:p>
      <w:pPr>
        <w:pStyle w:val="P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>
      <w:pPr>
        <w:pStyle w:val="P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>
      <w:pPr>
        <w:pStyle w:val="P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>
      <w:pPr>
        <w:pStyle w:val="P10"/>
        <w:ind w:left="0"/>
        <w:jc w:val="both"/>
        <w:rPr>
          <w:b w:val="1"/>
        </w:rPr>
      </w:pPr>
    </w:p>
    <w:p>
      <w:pPr>
        <w:pStyle w:val="P10"/>
        <w:ind w:left="-567"/>
        <w:jc w:val="both"/>
      </w:pPr>
      <w:r>
        <w:rPr>
          <w:b w:val="1"/>
        </w:rPr>
        <w:t xml:space="preserve">Механизмами </w:t>
      </w:r>
      <w:r>
        <w:t>реализации программы начального общего образования являются внутренние и внешние ресурсы школы:</w:t>
      </w:r>
    </w:p>
    <w:tbl>
      <w:tblPr>
        <w:tblStyle w:val="T2"/>
        <w:tblW w:w="10137" w:type="dxa"/>
        <w:tblInd w:w="-803" w:type="dxa"/>
        <w:tblLook w:val="04A0"/>
      </w:tblPr>
      <w:tblGrid/>
      <w:tr>
        <w:tc>
          <w:tcPr>
            <w:tcW w:w="1013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numPr>
                <w:ilvl w:val="0"/>
                <w:numId w:val="7"/>
              </w:numPr>
              <w:ind w:firstLine="567" w:left="-567" w:right="140"/>
              <w:jc w:val="both"/>
              <w:rPr>
                <w:i w:val="1"/>
              </w:rPr>
            </w:pPr>
            <w:r>
              <w:rPr>
                <w:i w:val="1"/>
              </w:rPr>
              <w:t>Внутренние ресурсы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before="100" w:after="100" w:beforeAutospacing="1" w:afterAutospacing="1"/>
              <w:ind w:firstLine="567" w:left="-567" w:right="1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Кадровые </w:t>
            </w:r>
          </w:p>
          <w:p>
            <w:pPr>
              <w:spacing w:before="100" w:after="100" w:beforeAutospacing="1" w:afterAutospacing="1"/>
              <w:ind w:firstLine="567" w:left="142" w:right="14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учителя, педагоги дополнительного образования, педагог-психолог, социальный педагог, тьюторы, библиотекарь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Финансовые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Материально-технические 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Оснащение оборудованием, в том числе учебно-методическим, всех помещений школы.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Базы данных, информационная образовательная среда школы 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Локальные нормативные акты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hanging="34" w:left="34"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план школы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внеурочной деятельности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 план воспитательной работы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Годовой план работы школы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программы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Федеральные рабочие программы</w:t>
            </w:r>
          </w:p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рабочие программы предметов, модулей, курсов;</w:t>
            </w:r>
          </w:p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рабочие программы курсов внеурочной деятельности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образовательных результатов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hanging="142" w:left="142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финансово-хозяйственной деятельности и др.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10"/>
              <w:ind w:hanging="34" w:left="34" w:right="1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013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numPr>
                <w:ilvl w:val="0"/>
                <w:numId w:val="7"/>
              </w:numPr>
              <w:ind w:firstLine="567" w:left="-567" w:right="14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Внешние ресурсы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firstLine="567" w:left="-567" w:right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Сторонние образовательные организации</w:t>
            </w:r>
          </w:p>
        </w:tc>
        <w:tc>
          <w:tcPr>
            <w:tcW w:w="52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pStyle w:val="P10"/>
              <w:ind w:left="35" w:right="1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реализующие дополнительные общеобразовательные программы, </w:t>
            </w:r>
          </w:p>
          <w:p>
            <w:pPr>
              <w:pStyle w:val="P10"/>
              <w:ind w:left="35"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оказывающие психолого-педагогическую, медицинскую и социальную помощь обучающимся, испытывающим трудности в освоении основной общеобразовательной программы и др.</w:t>
            </w:r>
          </w:p>
        </w:tc>
      </w:tr>
    </w:tbl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widowControl w:val="0"/>
        <w:spacing w:lineRule="auto" w:line="240" w:after="15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Особые образовательные потребности обучающихся с ЗПР, осваивающих АОП НОО (вариант 7.1).</w:t>
      </w:r>
    </w:p>
    <w:p>
      <w:pPr>
        <w:widowControl w:val="0"/>
        <w:spacing w:lineRule="auto" w:line="240" w:after="15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свое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 общим потребностям относятся:</w:t>
      </w:r>
    </w:p>
    <w:p>
      <w:pPr>
        <w:keepNext w:val="0"/>
        <w:widowControl w:val="0"/>
        <w:numPr>
          <w:ilvl w:val="0"/>
          <w:numId w:val="8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>
      <w:pPr>
        <w:keepNext w:val="0"/>
        <w:widowControl w:val="0"/>
        <w:numPr>
          <w:ilvl w:val="0"/>
          <w:numId w:val="8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>
      <w:pPr>
        <w:keepNext w:val="0"/>
        <w:widowControl w:val="0"/>
        <w:numPr>
          <w:ilvl w:val="0"/>
          <w:numId w:val="8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начального общего образования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 по адаптированным программам, при обязательном условии создания специальных условий получения образования, адекватных образовательным потребностям обучающихся с ЗПР;</w:t>
      </w:r>
    </w:p>
    <w:p>
      <w:pPr>
        <w:keepNext w:val="0"/>
        <w:widowControl w:val="0"/>
        <w:numPr>
          <w:ilvl w:val="0"/>
          <w:numId w:val="8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>
      <w:pPr>
        <w:keepNext w:val="0"/>
        <w:widowControl w:val="0"/>
        <w:numPr>
          <w:ilvl w:val="0"/>
          <w:numId w:val="8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психологическое сопровождение, оптимизирующее взаимодействие обучающегося с педагогическими работниками и другими обучающимися;</w:t>
      </w:r>
    </w:p>
    <w:p>
      <w:pPr>
        <w:keepNext w:val="0"/>
        <w:widowControl w:val="0"/>
        <w:numPr>
          <w:ilvl w:val="0"/>
          <w:numId w:val="8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>
      <w:pPr>
        <w:keepNext w:val="0"/>
        <w:widowControl w:val="0"/>
        <w:numPr>
          <w:ilvl w:val="0"/>
          <w:numId w:val="8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366"/>
        <w:jc w:val="both"/>
        <w:rPr>
          <w:rFonts w:ascii="Times New Roman" w:hAnsi="Times New Roman"/>
          <w:sz w:val="24"/>
        </w:rPr>
      </w:pPr>
      <w:bookmarkStart w:id="2" w:name="_GoBack"/>
      <w:bookmarkEnd w:id="2"/>
      <w:r>
        <w:rPr>
          <w:rFonts w:ascii="Times New Roman" w:hAnsi="Times New Roman"/>
          <w:sz w:val="24"/>
        </w:rPr>
        <w:t>Для обучающихся с ЗПР, осваивающих А</w:t>
      </w:r>
      <w:r>
        <w:rPr>
          <w:rFonts w:ascii="Times New Roman" w:hAnsi="Times New Roman"/>
          <w:sz w:val="24"/>
        </w:rPr>
        <w:t xml:space="preserve">ОП НОО (вариант 7.2), характерны следующие </w:t>
      </w:r>
      <w:r>
        <w:rPr>
          <w:rFonts w:ascii="Times New Roman" w:hAnsi="Times New Roman"/>
          <w:i w:val="1"/>
          <w:sz w:val="24"/>
        </w:rPr>
        <w:t>специфические образовательные потребности: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общего тонуса);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сроков освоения АООП НОО до 5 лет;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гибкое варьирование организации процесса обучения путем расширения или 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упрощение системы учебно-познавательных задач, решаемых в процессе образования;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процесса обучения с учетом специфики усвоения знаний, умений и навыков обучающимися с ЗПР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наглядно-действенный характер содержания образования;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необходимость постоянной актуализации знаний, умений и одобряемых обществом норм поведения;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преимущественно позитивных средств стимуляции деятельности и поведения;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комплексное сопровождение, направленное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>
      <w:pPr>
        <w:keepNext w:val="0"/>
        <w:widowControl w:val="0"/>
        <w:numPr>
          <w:ilvl w:val="0"/>
          <w:numId w:val="9"/>
        </w:numPr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взаимодействия семьи и образовательного учреждения (организация сотрудничества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>
      <w:pPr>
        <w:keepNext w:val="0"/>
        <w:widowControl w:val="0"/>
        <w:shd w:val="clear" w:fill="auto"/>
        <w:spacing w:lineRule="auto" w:line="240" w:after="0" w:beforeAutospacing="0" w:afterAutospacing="0"/>
        <w:ind w:firstLine="3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>
      <w:pPr>
        <w:pStyle w:val="P9"/>
        <w:widowControl w:val="0"/>
        <w:spacing w:lineRule="auto" w:line="240" w:after="150" w:beforeAutospacing="0" w:afterAutospacing="0"/>
        <w:ind w:firstLine="0" w:left="720"/>
        <w:jc w:val="both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F6B3D92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22182A9A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2A1D4EB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nsid w:val="582F561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5B631D1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62DB298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656771D8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3850BE81"/>
    <w:multiLevelType w:val="hybridMultilevel"/>
    <w:lvl w:ilvl="0" w:tplc="7456D311">
      <w:start w:val="1"/>
      <w:numFmt w:val="bullet"/>
      <w:suff w:val="tab"/>
      <w:lvlText w:val="·"/>
      <w:lvlJc w:val="left"/>
      <w:pPr>
        <w:ind w:hanging="354" w:left="720"/>
      </w:pPr>
      <w:rPr>
        <w:rFonts w:ascii="Symbol" w:hAnsi="Symbol"/>
      </w:rPr>
    </w:lvl>
    <w:lvl w:ilvl="1" w:tplc="7A538AF1">
      <w:start w:val="1"/>
      <w:numFmt w:val="bullet"/>
      <w:suff w:val="tab"/>
      <w:lvlText w:val="o"/>
      <w:lvlJc w:val="left"/>
      <w:pPr>
        <w:ind w:hanging="354" w:left="1440"/>
      </w:pPr>
      <w:rPr>
        <w:rFonts w:ascii="Symbol" w:hAnsi="Symbol"/>
      </w:rPr>
    </w:lvl>
    <w:lvl w:ilvl="2" w:tplc="0A7D1570">
      <w:start w:val="1"/>
      <w:numFmt w:val="bullet"/>
      <w:suff w:val="tab"/>
      <w:lvlText w:val="·"/>
      <w:lvlJc w:val="left"/>
      <w:pPr>
        <w:ind w:hanging="354" w:left="2160"/>
      </w:pPr>
      <w:rPr>
        <w:rFonts w:ascii="Symbol" w:hAnsi="Symbol"/>
      </w:rPr>
    </w:lvl>
    <w:lvl w:ilvl="3" w:tplc="07367F90">
      <w:start w:val="1"/>
      <w:numFmt w:val="bullet"/>
      <w:suff w:val="tab"/>
      <w:lvlText w:val="o"/>
      <w:lvlJc w:val="left"/>
      <w:pPr>
        <w:ind w:hanging="354" w:left="2880"/>
      </w:pPr>
      <w:rPr>
        <w:rFonts w:ascii="Symbol" w:hAnsi="Symbol"/>
      </w:rPr>
    </w:lvl>
    <w:lvl w:ilvl="4" w:tplc="264E33CC">
      <w:start w:val="1"/>
      <w:numFmt w:val="bullet"/>
      <w:suff w:val="tab"/>
      <w:lvlText w:val="·"/>
      <w:lvlJc w:val="left"/>
      <w:pPr>
        <w:ind w:hanging="354" w:left="3600"/>
      </w:pPr>
      <w:rPr>
        <w:rFonts w:ascii="Symbol" w:hAnsi="Symbol"/>
      </w:rPr>
    </w:lvl>
    <w:lvl w:ilvl="5" w:tplc="72A7E397">
      <w:start w:val="1"/>
      <w:numFmt w:val="bullet"/>
      <w:suff w:val="tab"/>
      <w:lvlText w:val="o"/>
      <w:lvlJc w:val="left"/>
      <w:pPr>
        <w:ind w:hanging="354" w:left="4320"/>
      </w:pPr>
      <w:rPr>
        <w:rFonts w:ascii="Symbol" w:hAnsi="Symbol"/>
      </w:rPr>
    </w:lvl>
    <w:lvl w:ilvl="6" w:tplc="568027C6">
      <w:start w:val="1"/>
      <w:numFmt w:val="bullet"/>
      <w:suff w:val="tab"/>
      <w:lvlText w:val="·"/>
      <w:lvlJc w:val="left"/>
      <w:pPr>
        <w:ind w:hanging="354" w:left="5040"/>
      </w:pPr>
      <w:rPr>
        <w:rFonts w:ascii="Symbol" w:hAnsi="Symbol"/>
      </w:rPr>
    </w:lvl>
    <w:lvl w:ilvl="7" w:tplc="20789603">
      <w:start w:val="1"/>
      <w:numFmt w:val="bullet"/>
      <w:suff w:val="tab"/>
      <w:lvlText w:val="o"/>
      <w:lvlJc w:val="left"/>
      <w:pPr>
        <w:ind w:hanging="354" w:left="5760"/>
      </w:pPr>
      <w:rPr>
        <w:rFonts w:ascii="Symbol" w:hAnsi="Symbol"/>
      </w:rPr>
    </w:lvl>
    <w:lvl w:ilvl="8" w:tplc="1D763D1B">
      <w:start w:val="1"/>
      <w:numFmt w:val="bullet"/>
      <w:suff w:val="tab"/>
      <w:lvlText w:val="·"/>
      <w:lvlJc w:val="left"/>
      <w:pPr>
        <w:ind w:hanging="354" w:left="6480"/>
      </w:pPr>
      <w:rPr>
        <w:rFonts w:ascii="Symbol" w:hAnsi="Symbol"/>
      </w:rPr>
    </w:lvl>
  </w:abstractNum>
  <w:abstractNum w:abstractNumId="8">
    <w:nsid w:val="3FDEC08A"/>
    <w:multiLevelType w:val="hybridMultilevel"/>
    <w:lvl w:ilvl="0" w:tplc="7456D311">
      <w:start w:val="1"/>
      <w:numFmt w:val="bullet"/>
      <w:suff w:val="tab"/>
      <w:lvlText w:val="·"/>
      <w:lvlJc w:val="left"/>
      <w:pPr>
        <w:ind w:hanging="354" w:left="720"/>
      </w:pPr>
      <w:rPr>
        <w:rFonts w:ascii="Symbol" w:hAnsi="Symbol"/>
      </w:rPr>
    </w:lvl>
    <w:lvl w:ilvl="1" w:tplc="7A538AF1">
      <w:start w:val="1"/>
      <w:numFmt w:val="bullet"/>
      <w:suff w:val="tab"/>
      <w:lvlText w:val="o"/>
      <w:lvlJc w:val="left"/>
      <w:pPr>
        <w:ind w:hanging="354" w:left="1440"/>
      </w:pPr>
      <w:rPr>
        <w:rFonts w:ascii="Symbol" w:hAnsi="Symbol"/>
      </w:rPr>
    </w:lvl>
    <w:lvl w:ilvl="2" w:tplc="0A7D1570">
      <w:start w:val="1"/>
      <w:numFmt w:val="bullet"/>
      <w:suff w:val="tab"/>
      <w:lvlText w:val="·"/>
      <w:lvlJc w:val="left"/>
      <w:pPr>
        <w:ind w:hanging="354" w:left="2160"/>
      </w:pPr>
      <w:rPr>
        <w:rFonts w:ascii="Symbol" w:hAnsi="Symbol"/>
      </w:rPr>
    </w:lvl>
    <w:lvl w:ilvl="3" w:tplc="07367F90">
      <w:start w:val="1"/>
      <w:numFmt w:val="bullet"/>
      <w:suff w:val="tab"/>
      <w:lvlText w:val="o"/>
      <w:lvlJc w:val="left"/>
      <w:pPr>
        <w:ind w:hanging="354" w:left="2880"/>
      </w:pPr>
      <w:rPr>
        <w:rFonts w:ascii="Symbol" w:hAnsi="Symbol"/>
      </w:rPr>
    </w:lvl>
    <w:lvl w:ilvl="4" w:tplc="264E33CC">
      <w:start w:val="1"/>
      <w:numFmt w:val="bullet"/>
      <w:suff w:val="tab"/>
      <w:lvlText w:val="·"/>
      <w:lvlJc w:val="left"/>
      <w:pPr>
        <w:ind w:hanging="354" w:left="3600"/>
      </w:pPr>
      <w:rPr>
        <w:rFonts w:ascii="Symbol" w:hAnsi="Symbol"/>
      </w:rPr>
    </w:lvl>
    <w:lvl w:ilvl="5" w:tplc="72A7E397">
      <w:start w:val="1"/>
      <w:numFmt w:val="bullet"/>
      <w:suff w:val="tab"/>
      <w:lvlText w:val="o"/>
      <w:lvlJc w:val="left"/>
      <w:pPr>
        <w:ind w:hanging="354" w:left="4320"/>
      </w:pPr>
      <w:rPr>
        <w:rFonts w:ascii="Symbol" w:hAnsi="Symbol"/>
      </w:rPr>
    </w:lvl>
    <w:lvl w:ilvl="6" w:tplc="568027C6">
      <w:start w:val="1"/>
      <w:numFmt w:val="bullet"/>
      <w:suff w:val="tab"/>
      <w:lvlText w:val="·"/>
      <w:lvlJc w:val="left"/>
      <w:pPr>
        <w:ind w:hanging="354" w:left="5040"/>
      </w:pPr>
      <w:rPr>
        <w:rFonts w:ascii="Symbol" w:hAnsi="Symbol"/>
      </w:rPr>
    </w:lvl>
    <w:lvl w:ilvl="7" w:tplc="20789603">
      <w:start w:val="1"/>
      <w:numFmt w:val="bullet"/>
      <w:suff w:val="tab"/>
      <w:lvlText w:val="o"/>
      <w:lvlJc w:val="left"/>
      <w:pPr>
        <w:ind w:hanging="354" w:left="5760"/>
      </w:pPr>
      <w:rPr>
        <w:rFonts w:ascii="Symbol" w:hAnsi="Symbol"/>
      </w:rPr>
    </w:lvl>
    <w:lvl w:ilvl="8" w:tplc="1D763D1B">
      <w:start w:val="1"/>
      <w:numFmt w:val="bullet"/>
      <w:suff w:val="tab"/>
      <w:lvlText w:val="·"/>
      <w:lvlJc w:val="left"/>
      <w:pPr>
        <w:ind w:hanging="354" w:left="648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ConsPlusNormal"/>
    <w:pPr>
      <w:widowControl w:val="0"/>
      <w:spacing w:lineRule="auto" w:line="240" w:after="0" w:beforeAutospacing="0" w:afterAutospacing="0"/>
    </w:pPr>
    <w:rPr>
      <w:rFonts w:ascii="Arial" w:hAnsi="Arial"/>
      <w:sz w:val="20"/>
    </w:rPr>
  </w:style>
  <w:style w:type="paragraph" w:styleId="P2">
    <w:name w:val="Normal (Web)"/>
    <w:basedOn w:val="P0"/>
    <w:link w:val="C3"/>
    <w:pPr>
      <w:spacing w:lineRule="auto" w:line="360" w:before="130" w:after="130" w:beforeAutospacing="0" w:afterAutospacing="0"/>
    </w:pPr>
    <w:rPr>
      <w:rFonts w:ascii="Times New Roman" w:hAnsi="Times New Roman"/>
      <w:sz w:val="24"/>
    </w:rPr>
  </w:style>
  <w:style w:type="paragraph" w:styleId="P3">
    <w:name w:val="Body Text"/>
    <w:basedOn w:val="P0"/>
    <w:link w:val="C5"/>
    <w:pPr>
      <w:suppressAutoHyphens w:val="1"/>
      <w:spacing w:after="120" w:beforeAutospacing="0" w:afterAutospacing="0"/>
    </w:pPr>
    <w:rPr>
      <w:color w:val="00000A"/>
      <w:sz w:val="20"/>
    </w:rPr>
  </w:style>
  <w:style w:type="paragraph" w:styleId="P4">
    <w:name w:val="А ОСН ТЕКСТ"/>
    <w:basedOn w:val="P0"/>
    <w:link w:val="C6"/>
    <w:pPr>
      <w:spacing w:lineRule="auto" w:line="360" w:after="0" w:beforeAutospacing="0" w:afterAutospacing="0"/>
      <w:ind w:firstLine="454"/>
      <w:jc w:val="both"/>
    </w:pPr>
    <w:rPr>
      <w:rFonts w:ascii="Times New Roman" w:hAnsi="Times New Roman"/>
      <w:caps w:val="1"/>
      <w:color w:val="000000"/>
      <w:sz w:val="28"/>
    </w:rPr>
  </w:style>
  <w:style w:type="paragraph" w:styleId="P5">
    <w:name w:val="14TexstOSNOVA_10/12"/>
    <w:basedOn w:val="P0"/>
    <w:pPr>
      <w:spacing w:lineRule="atLeast" w:line="240" w:after="0" w:beforeAutospacing="0" w:afterAutospacing="0"/>
      <w:ind w:firstLine="340"/>
      <w:jc w:val="both"/>
    </w:pPr>
    <w:rPr>
      <w:rFonts w:ascii="PragmaticaC" w:hAnsi="PragmaticaC"/>
      <w:color w:val="000000"/>
      <w:sz w:val="20"/>
    </w:rPr>
  </w:style>
  <w:style w:type="paragraph" w:styleId="P6">
    <w:name w:val="footnote text"/>
    <w:basedOn w:val="P0"/>
    <w:link w:val="C8"/>
    <w:pPr>
      <w:spacing w:lineRule="auto" w:line="240" w:after="0" w:beforeAutospacing="0" w:afterAutospacing="0"/>
    </w:pPr>
    <w:rPr>
      <w:color w:val="00000A"/>
      <w:sz w:val="24"/>
    </w:rPr>
  </w:style>
  <w:style w:type="paragraph" w:styleId="P7">
    <w:name w:val="p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8">
    <w:name w:val="09PodZAG_п/ж"/>
    <w:basedOn w:val="P0"/>
    <w:pPr>
      <w:spacing w:lineRule="atLeast" w:line="240" w:after="113" w:beforeAutospacing="0" w:afterAutospacing="0"/>
      <w:jc w:val="center"/>
    </w:pPr>
    <w:rPr>
      <w:rFonts w:ascii="FuturisC" w:hAnsi="FuturisC"/>
      <w:b w:val="1"/>
      <w:caps w:val="1"/>
      <w:color w:val="000000"/>
    </w:rPr>
  </w:style>
  <w:style w:type="paragraph" w:styleId="P9">
    <w:name w:val="List Paragraph"/>
    <w:basedOn w:val="P0"/>
    <w:qFormat/>
    <w:pPr>
      <w:ind w:left="720"/>
      <w:contextualSpacing w:val="1"/>
    </w:pPr>
    <w:rPr/>
  </w:style>
  <w:style w:type="paragraph" w:styleId="P10">
    <w:name w:val="Абзац списка1"/>
    <w:basedOn w:val="P0"/>
    <w:pPr>
      <w:spacing w:lineRule="auto" w:line="240" w:after="0" w:beforeAutospacing="0" w:afterAutospacing="0"/>
      <w:ind w:left="72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бычный (веб) Знак"/>
    <w:link w:val="P2"/>
    <w:rPr>
      <w:rFonts w:ascii="Times New Roman" w:hAnsi="Times New Roman"/>
      <w:sz w:val="24"/>
    </w:rPr>
  </w:style>
  <w:style w:type="character" w:styleId="C4">
    <w:name w:val="Символ сноски"/>
    <w:rPr>
      <w:vertAlign w:val="superscript"/>
    </w:rPr>
  </w:style>
  <w:style w:type="character" w:styleId="C5">
    <w:name w:val="Основной текст Знак"/>
    <w:basedOn w:val="C0"/>
    <w:link w:val="P3"/>
    <w:rPr>
      <w:color w:val="00000A"/>
      <w:sz w:val="20"/>
    </w:rPr>
  </w:style>
  <w:style w:type="character" w:styleId="C6">
    <w:name w:val="А ОСН ТЕКСТ Знак"/>
    <w:link w:val="P4"/>
    <w:rPr>
      <w:rFonts w:ascii="Times New Roman" w:hAnsi="Times New Roman"/>
      <w:caps w:val="1"/>
      <w:color w:val="000000"/>
      <w:sz w:val="28"/>
    </w:rPr>
  </w:style>
  <w:style w:type="character" w:styleId="C7">
    <w:name w:val="footnote reference"/>
    <w:rPr>
      <w:vertAlign w:val="superscript"/>
    </w:rPr>
  </w:style>
  <w:style w:type="character" w:styleId="C8">
    <w:name w:val="Текст сноски Знак"/>
    <w:basedOn w:val="C0"/>
    <w:link w:val="P6"/>
    <w:rPr>
      <w:color w:val="00000A"/>
      <w:sz w:val="24"/>
    </w:rPr>
  </w:style>
  <w:style w:type="character" w:styleId="C9">
    <w:name w:val="s1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